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D058FAA" w14:textId="18413964" w:rsidR="00D721E6" w:rsidRPr="00A2768F" w:rsidRDefault="00D721E6" w:rsidP="00A2768F">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Pr="008C50F8">
        <w:rPr>
          <w:rFonts w:ascii="Calibri" w:hAnsi="Calibri" w:cs="Calibri"/>
          <w:b/>
          <w:sz w:val="24"/>
          <w:szCs w:val="24"/>
        </w:rPr>
        <w:t xml:space="preserve">. </w:t>
      </w:r>
      <w:r w:rsidR="00A2768F" w:rsidRPr="00A2768F">
        <w:rPr>
          <w:rFonts w:ascii="Calibri" w:hAnsi="Calibri" w:cs="Calibri"/>
          <w:b/>
          <w:sz w:val="24"/>
          <w:szCs w:val="24"/>
        </w:rPr>
        <w:t>Subregion Centralny inwestuje w zielone umiejętności</w:t>
      </w:r>
    </w:p>
    <w:p w14:paraId="096565B2" w14:textId="4D711F75"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A2768F" w:rsidRPr="00A2768F">
        <w:rPr>
          <w:rFonts w:ascii="Calibri" w:hAnsi="Calibri" w:cs="Calibri"/>
          <w:b/>
          <w:sz w:val="24"/>
          <w:szCs w:val="24"/>
        </w:rPr>
        <w:t>FESL.10.17.-IP.02-0773/23-002</w:t>
      </w:r>
    </w:p>
    <w:p w14:paraId="11FB17BD" w14:textId="7E48CAA6"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A2768F" w:rsidRPr="00A2768F">
        <w:rPr>
          <w:rFonts w:ascii="Calibri" w:hAnsi="Calibri" w:cs="Calibri"/>
          <w:b/>
          <w:sz w:val="24"/>
          <w:szCs w:val="24"/>
        </w:rPr>
        <w:t xml:space="preserve">SMG/KRC Poland Human Resources Region południowy Sp. z o.o. </w:t>
      </w:r>
      <w:r w:rsidR="00A2768F">
        <w:rPr>
          <w:rFonts w:ascii="Calibri" w:hAnsi="Calibri" w:cs="Calibri"/>
          <w:b/>
          <w:sz w:val="24"/>
          <w:szCs w:val="24"/>
        </w:rPr>
        <w:t xml:space="preserve"> z </w:t>
      </w:r>
      <w:r w:rsidR="00D10111">
        <w:rPr>
          <w:rFonts w:ascii="Calibri" w:hAnsi="Calibri" w:cs="Calibri"/>
          <w:b/>
          <w:sz w:val="24"/>
          <w:szCs w:val="24"/>
        </w:rPr>
        <w:t>p</w:t>
      </w:r>
      <w:r w:rsidR="00D10111" w:rsidRPr="00A2768F">
        <w:rPr>
          <w:rFonts w:ascii="Calibri" w:hAnsi="Calibri" w:cs="Calibri"/>
          <w:b/>
          <w:sz w:val="24"/>
          <w:szCs w:val="24"/>
        </w:rPr>
        <w:t>artne</w:t>
      </w:r>
      <w:r w:rsidR="00D10111">
        <w:rPr>
          <w:rFonts w:ascii="Calibri" w:hAnsi="Calibri" w:cs="Calibri"/>
          <w:b/>
          <w:sz w:val="24"/>
          <w:szCs w:val="24"/>
        </w:rPr>
        <w:t>re</w:t>
      </w:r>
      <w:r w:rsidR="00D10111" w:rsidRPr="00A2768F">
        <w:rPr>
          <w:rFonts w:ascii="Calibri" w:hAnsi="Calibri" w:cs="Calibri"/>
          <w:b/>
          <w:sz w:val="24"/>
          <w:szCs w:val="24"/>
        </w:rPr>
        <w:t>m</w:t>
      </w:r>
      <w:r w:rsidR="00A2768F" w:rsidRPr="00A2768F">
        <w:rPr>
          <w:rFonts w:ascii="Calibri" w:hAnsi="Calibri" w:cs="Calibri"/>
          <w:b/>
          <w:sz w:val="24"/>
          <w:szCs w:val="24"/>
        </w:rPr>
        <w:t>: Mimo sp. z o o</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shd w:val="clear" w:color="auto" w:fill="auto"/>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shd w:val="clear" w:color="auto" w:fill="auto"/>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1F56DE29"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shd w:val="clear" w:color="auto" w:fill="auto"/>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shd w:val="clear" w:color="auto" w:fill="auto"/>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shd w:val="clear" w:color="auto" w:fill="auto"/>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shd w:val="clear" w:color="auto" w:fill="auto"/>
            <w:vAlign w:val="center"/>
          </w:tcPr>
          <w:p w14:paraId="28FDF4D5" w14:textId="6295808B"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31A64E8B"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6C0840C4" w14:textId="1C713070" w:rsidR="00320D85" w:rsidRPr="00320D85" w:rsidRDefault="00320D85" w:rsidP="006071E0">
            <w:pPr>
              <w:jc w:val="center"/>
              <w:rPr>
                <w:rFonts w:ascii="Calibri" w:hAnsi="Calibri"/>
                <w:sz w:val="22"/>
                <w:highlight w:val="yellow"/>
              </w:rPr>
            </w:pPr>
          </w:p>
        </w:tc>
        <w:tc>
          <w:tcPr>
            <w:tcW w:w="716" w:type="dxa"/>
            <w:gridSpan w:val="2"/>
            <w:shd w:val="clear" w:color="auto" w:fill="auto"/>
            <w:vAlign w:val="center"/>
          </w:tcPr>
          <w:p w14:paraId="13A98183" w14:textId="77777777" w:rsidR="00320D85" w:rsidRPr="00320D85" w:rsidRDefault="00320D85" w:rsidP="006071E0">
            <w:pPr>
              <w:jc w:val="center"/>
              <w:rPr>
                <w:rFonts w:ascii="Calibri" w:hAnsi="Calibri"/>
                <w:sz w:val="22"/>
                <w:highlight w:val="yellow"/>
              </w:rPr>
            </w:pPr>
          </w:p>
        </w:tc>
        <w:tc>
          <w:tcPr>
            <w:tcW w:w="717" w:type="dxa"/>
            <w:shd w:val="clear" w:color="auto" w:fill="auto"/>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3D5BE74B"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shd w:val="clear" w:color="auto" w:fill="auto"/>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shd w:val="clear" w:color="auto" w:fill="auto"/>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shd w:val="clear" w:color="auto" w:fill="auto"/>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11008249"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198AF46A"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2768F">
              <w:rPr>
                <w:rFonts w:ascii="Calibri" w:hAnsi="Calibri" w:cs="Calibri"/>
                <w:sz w:val="22"/>
                <w:szCs w:val="22"/>
              </w:rPr>
              <w:t>centralnego</w:t>
            </w:r>
          </w:p>
        </w:tc>
        <w:tc>
          <w:tcPr>
            <w:tcW w:w="992" w:type="dxa"/>
            <w:shd w:val="clear" w:color="auto" w:fill="auto"/>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shd w:val="clear" w:color="auto" w:fill="auto"/>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shd w:val="clear" w:color="auto" w:fill="auto"/>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45C9F31F"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A2768F">
              <w:rPr>
                <w:rFonts w:ascii="Calibri" w:hAnsi="Calibri" w:cs="Calibri"/>
                <w:sz w:val="22"/>
                <w:szCs w:val="22"/>
              </w:rPr>
              <w:t xml:space="preserve">centralnego </w:t>
            </w:r>
            <w:r w:rsidRPr="00BE2159">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9D399" w14:textId="3CBB9546"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7C522" w14:textId="3FC7CC1F"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6CEBDA2E"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 xml:space="preserve">projektu pn. </w:t>
            </w:r>
            <w:r w:rsidR="00A2768F" w:rsidRPr="00A2768F">
              <w:rPr>
                <w:rFonts w:ascii="Calibri" w:hAnsi="Calibri" w:cs="Calibri"/>
                <w:sz w:val="22"/>
                <w:szCs w:val="22"/>
              </w:rPr>
              <w:t>Subregion Centralny inwestuje w zielone umiejętności</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shd w:val="clear" w:color="auto" w:fill="auto"/>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shd w:val="clear" w:color="auto" w:fill="auto"/>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shd w:val="clear" w:color="auto" w:fill="auto"/>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4F8AEB1B"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shd w:val="clear" w:color="auto" w:fill="auto"/>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lastRenderedPageBreak/>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F6A398F"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2A17C965"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70DCBC9A"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shd w:val="clear" w:color="auto" w:fill="auto"/>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5F3C65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2B81DE86"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30427354"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004F1D49"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233C7047"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60AC1F9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0323A185"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shd w:val="clear" w:color="auto" w:fill="auto"/>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shd w:val="clear" w:color="auto" w:fill="auto"/>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lastRenderedPageBreak/>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shd w:val="clear" w:color="auto" w:fill="auto"/>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shd w:val="clear" w:color="auto" w:fill="auto"/>
          </w:tcPr>
          <w:p w14:paraId="01B8FCDD" w14:textId="0ED71F7C"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DDF9449"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shd w:val="clear" w:color="auto" w:fill="auto"/>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shd w:val="clear" w:color="auto" w:fill="auto"/>
          </w:tcPr>
          <w:p w14:paraId="23A496CB" w14:textId="77777777" w:rsidR="004F6BA3" w:rsidRPr="00FB0A50" w:rsidRDefault="004F6BA3" w:rsidP="004F6BA3">
            <w:pPr>
              <w:jc w:val="both"/>
              <w:rPr>
                <w:rFonts w:ascii="Calibri" w:hAnsi="Calibri" w:cs="Calibri"/>
                <w:bCs/>
                <w:sz w:val="22"/>
                <w:szCs w:val="22"/>
              </w:rPr>
            </w:pPr>
          </w:p>
        </w:tc>
        <w:tc>
          <w:tcPr>
            <w:tcW w:w="850" w:type="dxa"/>
            <w:shd w:val="clear" w:color="auto" w:fill="auto"/>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shd w:val="clear" w:color="auto" w:fill="auto"/>
          </w:tcPr>
          <w:p w14:paraId="75F44C8F" w14:textId="1EC33E00"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sidR="00D25A3A">
              <w:rPr>
                <w:rFonts w:ascii="Calibri" w:hAnsi="Calibri" w:cs="Calibri"/>
                <w:bCs/>
                <w:sz w:val="22"/>
                <w:szCs w:val="22"/>
              </w:rPr>
              <w:t>.</w:t>
            </w:r>
          </w:p>
        </w:tc>
        <w:tc>
          <w:tcPr>
            <w:tcW w:w="850" w:type="dxa"/>
            <w:shd w:val="clear" w:color="auto" w:fill="auto"/>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shd w:val="clear" w:color="auto" w:fill="auto"/>
          </w:tcPr>
          <w:p w14:paraId="37C144EF" w14:textId="7E80F928"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shd w:val="clear" w:color="auto" w:fill="auto"/>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shd w:val="clear" w:color="auto" w:fill="auto"/>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shd w:val="clear" w:color="auto" w:fill="auto"/>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shd w:val="clear" w:color="auto" w:fill="auto"/>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shd w:val="clear" w:color="auto" w:fill="auto"/>
          </w:tcPr>
          <w:p w14:paraId="48841F36" w14:textId="5D01551C"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Pr>
                <w:rFonts w:ascii="Calibri" w:hAnsi="Calibri" w:cs="Calibri"/>
                <w:b/>
                <w:bCs/>
                <w:iCs/>
                <w:sz w:val="22"/>
                <w:szCs w:val="22"/>
              </w:rPr>
              <w:t>3</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shd w:val="clear" w:color="auto" w:fill="auto"/>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shd w:val="clear" w:color="auto" w:fill="auto"/>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shd w:val="clear" w:color="auto" w:fill="auto"/>
            <w:vAlign w:val="center"/>
          </w:tcPr>
          <w:p w14:paraId="0EA2D8EC" w14:textId="34E36C51"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shd w:val="clear" w:color="auto" w:fill="auto"/>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shd w:val="clear" w:color="auto" w:fill="auto"/>
            <w:vAlign w:val="center"/>
          </w:tcPr>
          <w:p w14:paraId="655BA5D6" w14:textId="13BF31C6"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shd w:val="clear" w:color="auto" w:fill="auto"/>
            <w:vAlign w:val="center"/>
          </w:tcPr>
          <w:p w14:paraId="22AA4D5B" w14:textId="7E7A5A3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shd w:val="clear" w:color="auto" w:fill="auto"/>
            <w:vAlign w:val="center"/>
          </w:tcPr>
          <w:p w14:paraId="57A2EC4C" w14:textId="36E325A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shd w:val="clear" w:color="auto" w:fill="auto"/>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shd w:val="clear" w:color="auto" w:fill="auto"/>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shd w:val="clear" w:color="auto" w:fill="auto"/>
            <w:vAlign w:val="center"/>
          </w:tcPr>
          <w:p w14:paraId="35719981" w14:textId="10ECD8CF"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A2768F" w:rsidRPr="00A2768F">
              <w:rPr>
                <w:rFonts w:ascii="Calibri" w:hAnsi="Calibri" w:cs="Calibri"/>
                <w:bCs/>
                <w:sz w:val="22"/>
                <w:szCs w:val="22"/>
              </w:rPr>
              <w:t>Subregion Centralny inwestuje w zielone umiejętności</w:t>
            </w:r>
            <w:r w:rsidR="00A2768F">
              <w:rPr>
                <w:rFonts w:ascii="Calibri" w:hAnsi="Calibri" w:cs="Calibri"/>
                <w:bCs/>
                <w:sz w:val="22"/>
                <w:szCs w:val="22"/>
              </w:rPr>
              <w:t xml:space="preserve">, </w:t>
            </w:r>
            <w:r w:rsidRPr="00256910">
              <w:rPr>
                <w:rFonts w:ascii="Calibri" w:hAnsi="Calibri" w:cs="Calibri"/>
                <w:bCs/>
                <w:sz w:val="22"/>
                <w:szCs w:val="22"/>
              </w:rPr>
              <w:t>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shd w:val="clear" w:color="auto" w:fill="auto"/>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shd w:val="clear" w:color="auto" w:fill="auto"/>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shd w:val="clear" w:color="auto" w:fill="auto"/>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shd w:val="clear" w:color="auto" w:fill="auto"/>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shd w:val="clear" w:color="auto" w:fill="auto"/>
            <w:vAlign w:val="center"/>
          </w:tcPr>
          <w:p w14:paraId="30D11ACC" w14:textId="710A69B1"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A2768F">
              <w:rPr>
                <w:rFonts w:ascii="Calibri" w:hAnsi="Calibri" w:cs="Calibri"/>
                <w:bCs/>
                <w:sz w:val="22"/>
                <w:szCs w:val="22"/>
              </w:rPr>
              <w:t xml:space="preserve">centralnego. </w:t>
            </w:r>
          </w:p>
        </w:tc>
        <w:tc>
          <w:tcPr>
            <w:tcW w:w="807" w:type="dxa"/>
            <w:shd w:val="clear" w:color="auto" w:fill="auto"/>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shd w:val="clear" w:color="auto" w:fill="auto"/>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shd w:val="clear" w:color="auto" w:fill="auto"/>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shd w:val="clear" w:color="auto" w:fill="auto"/>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shd w:val="clear" w:color="auto" w:fill="auto"/>
            <w:vAlign w:val="center"/>
          </w:tcPr>
          <w:p w14:paraId="669BE595" w14:textId="709F0E27"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shd w:val="clear" w:color="auto" w:fill="auto"/>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shd w:val="clear" w:color="auto" w:fill="auto"/>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shd w:val="clear" w:color="auto" w:fill="auto"/>
            <w:vAlign w:val="center"/>
          </w:tcPr>
          <w:p w14:paraId="23D46395" w14:textId="20EED652"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shd w:val="clear" w:color="auto" w:fill="auto"/>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shd w:val="clear" w:color="auto" w:fill="auto"/>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shd w:val="clear" w:color="auto" w:fill="auto"/>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shd w:val="clear" w:color="auto" w:fill="auto"/>
            <w:vAlign w:val="center"/>
          </w:tcPr>
          <w:p w14:paraId="6FF0444E" w14:textId="4B3B5E2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shd w:val="clear" w:color="auto" w:fill="auto"/>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shd w:val="clear" w:color="auto" w:fill="auto"/>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shd w:val="clear" w:color="auto" w:fill="auto"/>
            <w:vAlign w:val="center"/>
          </w:tcPr>
          <w:p w14:paraId="38A35135" w14:textId="3F97B63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shd w:val="clear" w:color="auto" w:fill="auto"/>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shd w:val="clear" w:color="auto" w:fill="auto"/>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shd w:val="clear" w:color="auto" w:fill="auto"/>
            <w:vAlign w:val="center"/>
          </w:tcPr>
          <w:p w14:paraId="7091B547" w14:textId="4BF813C1"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shd w:val="clear" w:color="auto" w:fill="auto"/>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shd w:val="clear" w:color="auto" w:fill="auto"/>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shd w:val="clear" w:color="auto" w:fill="auto"/>
            <w:vAlign w:val="center"/>
          </w:tcPr>
          <w:p w14:paraId="2847CD8A" w14:textId="27190AEA"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shd w:val="clear" w:color="auto" w:fill="auto"/>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shd w:val="clear" w:color="auto" w:fill="auto"/>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shd w:val="clear" w:color="auto" w:fill="auto"/>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shd w:val="clear" w:color="auto" w:fill="auto"/>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shd w:val="clear" w:color="auto" w:fill="auto"/>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shd w:val="clear" w:color="auto" w:fill="auto"/>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shd w:val="clear" w:color="auto" w:fill="auto"/>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shd w:val="clear" w:color="auto" w:fill="auto"/>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shd w:val="clear" w:color="auto" w:fill="auto"/>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shd w:val="clear" w:color="auto" w:fill="auto"/>
            <w:vAlign w:val="center"/>
          </w:tcPr>
          <w:p w14:paraId="66908D92" w14:textId="0849F98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00A2768F" w:rsidRPr="00A2768F">
              <w:rPr>
                <w:rFonts w:ascii="Calibri" w:hAnsi="Calibri" w:cs="Calibri"/>
                <w:bCs/>
                <w:sz w:val="22"/>
                <w:szCs w:val="22"/>
              </w:rPr>
              <w:t>Subregion Centralny inwestuje w zielone umiejętności</w:t>
            </w:r>
            <w:r w:rsidRPr="00256910">
              <w:rPr>
                <w:rFonts w:ascii="Calibri" w:hAnsi="Calibri" w:cs="Calibri"/>
                <w:bCs/>
                <w:sz w:val="22"/>
                <w:szCs w:val="22"/>
              </w:rPr>
              <w:t>.</w:t>
            </w:r>
          </w:p>
        </w:tc>
        <w:tc>
          <w:tcPr>
            <w:tcW w:w="807" w:type="dxa"/>
            <w:shd w:val="clear" w:color="auto" w:fill="auto"/>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shd w:val="clear" w:color="auto" w:fill="auto"/>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BAB76DF" w:rsidR="002B0AF4" w:rsidRDefault="004D6D0B" w:rsidP="00320D85">
      <w:pPr>
        <w:jc w:val="both"/>
        <w:rPr>
          <w:rFonts w:ascii="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7BFC3761" w14:textId="77777777" w:rsidR="002B0AF4" w:rsidRDefault="002B0AF4">
      <w:pPr>
        <w:spacing w:after="160" w:line="259" w:lineRule="auto"/>
        <w:rPr>
          <w:rFonts w:ascii="Calibri" w:hAnsi="Calibri"/>
          <w:sz w:val="22"/>
        </w:rPr>
      </w:pPr>
      <w:r>
        <w:rPr>
          <w:rFonts w:ascii="Calibri" w:hAnsi="Calibri"/>
          <w:sz w:val="22"/>
        </w:rPr>
        <w:br w:type="page"/>
      </w:r>
    </w:p>
    <w:p w14:paraId="5607F4EF" w14:textId="77777777" w:rsidR="00D721E6" w:rsidRPr="00320D85" w:rsidRDefault="00D721E6" w:rsidP="00D721E6">
      <w:pPr>
        <w:spacing w:line="276" w:lineRule="auto"/>
        <w:jc w:val="both"/>
        <w:rPr>
          <w:rFonts w:ascii="Calibri" w:eastAsia="Calibri" w:hAnsi="Calibri"/>
          <w:sz w:val="22"/>
        </w:rPr>
      </w:pPr>
    </w:p>
    <w:p w14:paraId="5C0EFA4E" w14:textId="77777777" w:rsidR="00A2768F" w:rsidRPr="002B0AF4" w:rsidRDefault="00A2768F" w:rsidP="00A2768F">
      <w:pPr>
        <w:jc w:val="center"/>
        <w:rPr>
          <w:rFonts w:asciiTheme="minorHAnsi" w:hAnsiTheme="minorHAnsi" w:cstheme="minorHAnsi"/>
          <w:b/>
          <w:bCs/>
          <w:sz w:val="28"/>
          <w:szCs w:val="28"/>
        </w:rPr>
      </w:pPr>
      <w:r w:rsidRPr="002B0AF4">
        <w:rPr>
          <w:rFonts w:asciiTheme="minorHAnsi" w:hAnsiTheme="minorHAnsi" w:cstheme="minorHAnsi"/>
          <w:b/>
          <w:bCs/>
          <w:sz w:val="28"/>
          <w:szCs w:val="28"/>
        </w:rPr>
        <w:t>Klauzula informacyjna</w:t>
      </w:r>
    </w:p>
    <w:p w14:paraId="45A55AC0" w14:textId="77777777" w:rsidR="00A2768F" w:rsidRPr="002B0AF4" w:rsidRDefault="00A2768F" w:rsidP="00A2768F">
      <w:pPr>
        <w:widowControl w:val="0"/>
        <w:jc w:val="both"/>
        <w:rPr>
          <w:rFonts w:asciiTheme="minorHAnsi" w:hAnsiTheme="minorHAnsi" w:cstheme="minorHAnsi"/>
          <w:sz w:val="22"/>
          <w:szCs w:val="22"/>
        </w:rPr>
      </w:pPr>
    </w:p>
    <w:p w14:paraId="73975E79" w14:textId="77777777" w:rsidR="00A2768F" w:rsidRPr="002B0AF4" w:rsidRDefault="00A2768F" w:rsidP="00A2768F">
      <w:pPr>
        <w:jc w:val="both"/>
        <w:rPr>
          <w:rFonts w:asciiTheme="minorHAnsi" w:eastAsia="Segoe UI" w:hAnsiTheme="minorHAnsi" w:cstheme="minorHAnsi"/>
          <w:b/>
          <w:bCs/>
          <w:sz w:val="24"/>
          <w:szCs w:val="24"/>
        </w:rPr>
      </w:pPr>
      <w:r w:rsidRPr="002B0AF4">
        <w:rPr>
          <w:rFonts w:asciiTheme="minorHAnsi" w:hAnsiTheme="minorHAnsi" w:cstheme="minorHAnsi"/>
          <w:sz w:val="22"/>
          <w:szCs w:val="22"/>
        </w:rPr>
        <w:t xml:space="preserve">dla Kandydata do projektu </w:t>
      </w:r>
      <w:r w:rsidRPr="002B0AF4">
        <w:rPr>
          <w:rFonts w:asciiTheme="minorHAnsi" w:eastAsia="Segoe UI" w:hAnsiTheme="minorHAnsi" w:cstheme="minorHAnsi"/>
          <w:b/>
          <w:bCs/>
          <w:sz w:val="24"/>
          <w:szCs w:val="24"/>
        </w:rPr>
        <w:t>Subregion Centralny inwestuje w zielone umiejętności</w:t>
      </w:r>
    </w:p>
    <w:p w14:paraId="11104949" w14:textId="77777777" w:rsidR="00A2768F" w:rsidRPr="002B0AF4" w:rsidRDefault="00A2768F" w:rsidP="00A2768F">
      <w:pPr>
        <w:widowControl w:val="0"/>
        <w:jc w:val="both"/>
        <w:rPr>
          <w:rFonts w:asciiTheme="minorHAnsi" w:hAnsiTheme="minorHAnsi" w:cstheme="minorHAnsi"/>
          <w:sz w:val="22"/>
          <w:szCs w:val="22"/>
        </w:rPr>
      </w:pPr>
    </w:p>
    <w:p w14:paraId="38D83CC7"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W celu wykonania obowiązku nałożonego art. 13 RODO 33 Rozporządzenie Parlamentu Europejskiego i Rady (UE) 2016/679 z 27 kwietnia 2016 r. w sprawie ochrony osób fizycznych w związku z przetwarzaniem danych osobowych i w sprawie swobodnego przepływu takich danych (Dz. Urz. UE. L 119 z 4 maja 2016 r., s.1-88) w związku z art. 88 ustawy o zasadach  realizacji zadań finansowanych ze środków europejskich w perspektywie finansowej 2021-20274 4 Ustawa z dnia 28 kwietnia 2022 r o zasadach realizacji zadań finansowanych ze środków europejskich w perspektywie finansowej 2021-2027 (Dz.U. 2022 poz. 1079), zwana dalej „ustawą wdrożeniową”  informujemy o zasadach przetwarzania Państwa danych osobowych: </w:t>
      </w:r>
    </w:p>
    <w:p w14:paraId="5AA06E2A" w14:textId="77777777" w:rsidR="00A2768F" w:rsidRPr="002B0AF4" w:rsidRDefault="00A2768F" w:rsidP="00A2768F">
      <w:pPr>
        <w:widowControl w:val="0"/>
        <w:jc w:val="both"/>
        <w:rPr>
          <w:rFonts w:asciiTheme="minorHAnsi" w:hAnsiTheme="minorHAnsi" w:cstheme="minorHAnsi"/>
          <w:sz w:val="22"/>
          <w:szCs w:val="22"/>
        </w:rPr>
      </w:pPr>
    </w:p>
    <w:p w14:paraId="57AF3339"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 Administrator</w:t>
      </w:r>
    </w:p>
    <w:p w14:paraId="774CF61C"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Administratorem Państwa danych osobowych jest SMG/KRC Poland Human Resources Region południowy Sp. z o.o z siedzibą w Katowicach pod adresem ul. Sokolska 65/20, 40-007 Katowice  reprezentowany przez Pana Romana Kraczla. </w:t>
      </w:r>
    </w:p>
    <w:p w14:paraId="5E8A794B" w14:textId="77777777" w:rsidR="00A2768F" w:rsidRPr="002B0AF4" w:rsidRDefault="00A2768F" w:rsidP="00A2768F">
      <w:pPr>
        <w:widowControl w:val="0"/>
        <w:jc w:val="both"/>
        <w:rPr>
          <w:rFonts w:asciiTheme="minorHAnsi" w:hAnsiTheme="minorHAnsi" w:cstheme="minorHAnsi"/>
          <w:sz w:val="22"/>
          <w:szCs w:val="22"/>
        </w:rPr>
      </w:pPr>
    </w:p>
    <w:p w14:paraId="015C2C75"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II. Cel przetwarzania danych</w:t>
      </w:r>
    </w:p>
    <w:p w14:paraId="482241CC"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będą przetwarzać w związku z realizacją projektu „Akademia nowych umiejętności” w ramach Programu Fundusze Europejskie dla Śląskiego 2021-2027 w ramach Podmiotowego systemu finansowania usług rozwojowych (PSF); priorytet FESL.10 Fundusze Europejskie na transformację; działanie FESL.10.17 Kształcenie osób dorosłych – FST, w szczególności w celu zawarcia umowy na udział w projekcie oraz umowy na dofinansowanie do usług rozwojowych oraz realizacją praw i obowiązków z nimi związanych, w tym m.in. monitorowanie, sprawozdawczość, komunikacja, zarządzanie finansowe, ewaluacja, analiza, weryfikacja i audyty oraz do celów określania kwalifikowalności uczestników, rejestracji i przechowywania w formie elektronicznej danych dotyczących projektu, archiwizacji dokumentacji, prowadzenia działań informacyjno–promocyjnych, rozliczania finansowego projektu na etapie wniosków o płatność. </w:t>
      </w:r>
    </w:p>
    <w:p w14:paraId="6542F8EA"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Podanie danych jest dobrowolne, ale konieczne do realizacji wyżej wymienionych celów. Odmowa ich podania jest równoznaczna z brakiem możliwości podjęcia stosownych działań. </w:t>
      </w:r>
    </w:p>
    <w:p w14:paraId="55540B17" w14:textId="77777777" w:rsidR="00A2768F" w:rsidRPr="002B0AF4" w:rsidRDefault="00A2768F" w:rsidP="00A2768F">
      <w:pPr>
        <w:widowControl w:val="0"/>
        <w:jc w:val="both"/>
        <w:rPr>
          <w:rFonts w:asciiTheme="minorHAnsi" w:hAnsiTheme="minorHAnsi" w:cstheme="minorHAnsi"/>
          <w:sz w:val="22"/>
          <w:szCs w:val="22"/>
        </w:rPr>
      </w:pPr>
    </w:p>
    <w:p w14:paraId="143A4248"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III. Podstawa przetwarzania</w:t>
      </w:r>
    </w:p>
    <w:p w14:paraId="1A0D7E3A"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Będziemy przetwarzać Państwa dane osobowe w związku z tym, że: </w:t>
      </w:r>
    </w:p>
    <w:p w14:paraId="12B04825"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Zobowiązuje nas do tego prawo (art. 6 ust. 1 lit. c, art. 9 ust. 2 lit. g oraz art. 105 </w:t>
      </w:r>
    </w:p>
    <w:p w14:paraId="0FCC7B73"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5 Dotyczy wyłącznie projektów aktywizujących osoby odbywające karę pozbawienia wolności. RODO)6</w:t>
      </w:r>
    </w:p>
    <w:p w14:paraId="32A8B39C"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Należy wskazać jeden lub kilka przepisów prawa - możliwe jest ich przywołanie w zakresie ograniczonym na potrzeby konkretnej klauzuli. : </w:t>
      </w:r>
    </w:p>
    <w:p w14:paraId="0CFF306E" w14:textId="77777777" w:rsidR="00A2768F" w:rsidRPr="002B0AF4" w:rsidRDefault="00A2768F" w:rsidP="00A2768F">
      <w:pPr>
        <w:widowControl w:val="0"/>
        <w:numPr>
          <w:ilvl w:val="0"/>
          <w:numId w:val="9"/>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nr 2021/1060 z 24 czerwca 2021 r. </w:t>
      </w:r>
    </w:p>
    <w:p w14:paraId="34F1ADC0" w14:textId="77777777" w:rsidR="00A2768F" w:rsidRPr="002B0AF4" w:rsidRDefault="00A2768F" w:rsidP="00A2768F">
      <w:pPr>
        <w:widowControl w:val="0"/>
        <w:jc w:val="both"/>
        <w:rPr>
          <w:rFonts w:asciiTheme="minorHAnsi" w:hAnsiTheme="minorHAnsi" w:cstheme="minorHAnsi"/>
          <w:sz w:val="22"/>
          <w:szCs w:val="22"/>
        </w:rPr>
      </w:pPr>
    </w:p>
    <w:p w14:paraId="36A364A9" w14:textId="77777777" w:rsidR="00A2768F" w:rsidRPr="002B0AF4" w:rsidRDefault="00A2768F" w:rsidP="00A2768F">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ustanawiającego wspólne przepisy dotyczące Europejskiego Funduszu Rozwoju Regionalnego, Europejskiego Funduszu Społecznego Plus, Funduszu Spójności, Funduszu na rzecz </w:t>
      </w:r>
    </w:p>
    <w:p w14:paraId="35596CEE" w14:textId="77777777" w:rsidR="00A2768F" w:rsidRPr="002B0AF4" w:rsidRDefault="00A2768F" w:rsidP="00A2768F">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Sprawiedliwej Transformacji i Europejskiego Funduszu Morskiego, Rybackiego i Akwakultury, </w:t>
      </w:r>
    </w:p>
    <w:p w14:paraId="42B4AF84" w14:textId="77777777" w:rsidR="00A2768F" w:rsidRPr="002B0AF4" w:rsidRDefault="00A2768F" w:rsidP="00A2768F">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a także przepisy finansowe na potrzeby tych funduszy oraz na potrzeby Funduszu Azylu, </w:t>
      </w:r>
    </w:p>
    <w:p w14:paraId="28BE389E" w14:textId="77777777" w:rsidR="00A2768F" w:rsidRPr="002B0AF4" w:rsidRDefault="00A2768F" w:rsidP="00A2768F">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Migracji i Integracji, Funduszu Bezpieczeństwa Wewnętrznego i Instrumentu Wsparcia </w:t>
      </w:r>
    </w:p>
    <w:p w14:paraId="248EBAD3" w14:textId="77777777" w:rsidR="00A2768F" w:rsidRPr="002B0AF4" w:rsidRDefault="00A2768F" w:rsidP="00A2768F">
      <w:pPr>
        <w:widowControl w:val="0"/>
        <w:rPr>
          <w:rFonts w:asciiTheme="minorHAnsi" w:hAnsiTheme="minorHAnsi" w:cstheme="minorHAnsi"/>
          <w:sz w:val="22"/>
          <w:szCs w:val="22"/>
        </w:rPr>
      </w:pPr>
      <w:r w:rsidRPr="002B0AF4">
        <w:rPr>
          <w:rFonts w:asciiTheme="minorHAnsi" w:hAnsiTheme="minorHAnsi" w:cstheme="minorHAnsi"/>
          <w:sz w:val="22"/>
          <w:szCs w:val="22"/>
        </w:rPr>
        <w:t xml:space="preserve">Finansowego na rzecz Zarządzania Granicami i Polityki Wizowej, w szczególności art. 44, art. </w:t>
      </w:r>
    </w:p>
    <w:p w14:paraId="12A1F7B0"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69, art. 72-74, art. 76, art. 82, </w:t>
      </w:r>
    </w:p>
    <w:p w14:paraId="6AA7D5E7" w14:textId="77777777" w:rsidR="00A2768F" w:rsidRPr="002B0AF4" w:rsidRDefault="00A2768F" w:rsidP="00A2768F">
      <w:pPr>
        <w:widowControl w:val="0"/>
        <w:numPr>
          <w:ilvl w:val="0"/>
          <w:numId w:val="10"/>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Parlamentu Europejskiego i Rady (UE) 2021/1057 z dnia 24 czerwca 2021 r. </w:t>
      </w:r>
    </w:p>
    <w:p w14:paraId="43C5FD3F" w14:textId="77777777" w:rsidR="00A2768F" w:rsidRPr="002B0AF4" w:rsidRDefault="00A2768F" w:rsidP="00A2768F">
      <w:pPr>
        <w:widowControl w:val="0"/>
        <w:jc w:val="both"/>
        <w:rPr>
          <w:rFonts w:asciiTheme="minorHAnsi" w:hAnsiTheme="minorHAnsi" w:cstheme="minorHAnsi"/>
          <w:sz w:val="22"/>
          <w:szCs w:val="22"/>
        </w:rPr>
      </w:pPr>
    </w:p>
    <w:p w14:paraId="1D913D2B"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lastRenderedPageBreak/>
        <w:t xml:space="preserve">ustanawiające Europejski Fundusz Społeczny Plus (EFS+) oraz uchylające rozporządzenie (UE) </w:t>
      </w:r>
    </w:p>
    <w:p w14:paraId="67E467F2"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nr 1296/2013 (Dz. Urz. UE L 231 z 30.06.2021, str. 21, z późn. zm.), </w:t>
      </w:r>
    </w:p>
    <w:p w14:paraId="40749A23" w14:textId="77777777" w:rsidR="00A2768F" w:rsidRPr="002B0AF4" w:rsidRDefault="00A2768F" w:rsidP="00A2768F">
      <w:pPr>
        <w:widowControl w:val="0"/>
        <w:numPr>
          <w:ilvl w:val="0"/>
          <w:numId w:val="11"/>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28 kwietnia 2022 r. o zasadach realizacji zadań finansowanych ze środków </w:t>
      </w:r>
    </w:p>
    <w:p w14:paraId="544A07C8" w14:textId="77777777" w:rsidR="00A2768F" w:rsidRPr="002B0AF4" w:rsidRDefault="00A2768F" w:rsidP="00A2768F">
      <w:pPr>
        <w:widowControl w:val="0"/>
        <w:jc w:val="both"/>
        <w:rPr>
          <w:rFonts w:asciiTheme="minorHAnsi" w:hAnsiTheme="minorHAnsi" w:cstheme="minorHAnsi"/>
          <w:sz w:val="22"/>
          <w:szCs w:val="22"/>
        </w:rPr>
      </w:pPr>
    </w:p>
    <w:p w14:paraId="3719600B"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europejskich w perspektywie finansowej 2021-2027, w szczególności art. 87-93, </w:t>
      </w:r>
    </w:p>
    <w:p w14:paraId="63865E69" w14:textId="77777777" w:rsidR="00A2768F" w:rsidRPr="002B0AF4" w:rsidRDefault="00A2768F" w:rsidP="00A2768F">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14 czerwca 1960 r. - Kodeks postępowania administracyjnego, </w:t>
      </w:r>
    </w:p>
    <w:p w14:paraId="34E0C8DF" w14:textId="77777777" w:rsidR="00A2768F" w:rsidRPr="002B0AF4" w:rsidRDefault="00A2768F" w:rsidP="00A2768F">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27 sierpnia 2009 r. o finansach publicznych, w szczególności art. 207 – 210, </w:t>
      </w:r>
    </w:p>
    <w:p w14:paraId="2E86EDFA" w14:textId="77777777" w:rsidR="00A2768F" w:rsidRPr="002B0AF4" w:rsidRDefault="00A2768F" w:rsidP="00A2768F">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ustawa z dnia 14 lipca 1983 r. o narodowym zasobie archiwalnym i archiwach, </w:t>
      </w:r>
    </w:p>
    <w:p w14:paraId="096456EE" w14:textId="77777777" w:rsidR="00A2768F" w:rsidRPr="002B0AF4" w:rsidRDefault="00A2768F" w:rsidP="00A2768F">
      <w:pPr>
        <w:widowControl w:val="0"/>
        <w:numPr>
          <w:ilvl w:val="0"/>
          <w:numId w:val="12"/>
        </w:numPr>
        <w:autoSpaceDE w:val="0"/>
        <w:autoSpaceDN w:val="0"/>
        <w:jc w:val="both"/>
        <w:rPr>
          <w:rFonts w:asciiTheme="minorHAnsi" w:hAnsiTheme="minorHAnsi" w:cstheme="minorHAnsi"/>
          <w:sz w:val="22"/>
          <w:szCs w:val="22"/>
        </w:rPr>
      </w:pPr>
      <w:r w:rsidRPr="002B0AF4">
        <w:rPr>
          <w:rFonts w:asciiTheme="minorHAnsi" w:hAnsiTheme="minorHAnsi" w:cstheme="minorHAnsi"/>
          <w:sz w:val="22"/>
          <w:szCs w:val="22"/>
        </w:rPr>
        <w:t xml:space="preserve">Rozporządzenie z dnia 18 stycznia 2011 r. Prezesa Rady Ministrów w sprawie instrukcji </w:t>
      </w:r>
    </w:p>
    <w:p w14:paraId="6967AA65" w14:textId="77777777" w:rsidR="00A2768F" w:rsidRPr="002B0AF4" w:rsidRDefault="00A2768F" w:rsidP="00A2768F">
      <w:pPr>
        <w:widowControl w:val="0"/>
        <w:jc w:val="both"/>
        <w:rPr>
          <w:rFonts w:asciiTheme="minorHAnsi" w:hAnsiTheme="minorHAnsi" w:cstheme="minorHAnsi"/>
          <w:sz w:val="22"/>
          <w:szCs w:val="22"/>
        </w:rPr>
      </w:pPr>
    </w:p>
    <w:p w14:paraId="4900DEE6"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kancelaryjnej, jednolitych rzeczowych wykazów akt oraz instrukcji w sprawie organizacji </w:t>
      </w:r>
    </w:p>
    <w:p w14:paraId="41740136"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i zakresu działania archiwów zakładowych. </w:t>
      </w:r>
    </w:p>
    <w:p w14:paraId="1A5F3E6D" w14:textId="77777777" w:rsidR="00A2768F" w:rsidRPr="002B0AF4" w:rsidRDefault="00A2768F" w:rsidP="00A2768F">
      <w:pPr>
        <w:widowControl w:val="0"/>
        <w:jc w:val="both"/>
        <w:rPr>
          <w:rFonts w:asciiTheme="minorHAnsi" w:hAnsiTheme="minorHAnsi" w:cstheme="minorHAnsi"/>
          <w:sz w:val="22"/>
          <w:szCs w:val="22"/>
        </w:rPr>
      </w:pPr>
    </w:p>
    <w:p w14:paraId="52EA8BDA"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IV. Sposób pozyskiwania danych</w:t>
      </w:r>
    </w:p>
    <w:p w14:paraId="0B040324"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Dane pozyskujemy bezpośrednio od osób, których one dotyczą, albo od instytucji i podmiotów </w:t>
      </w:r>
    </w:p>
    <w:p w14:paraId="33F9207F"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zaangażowanych w realizację Programu, w tym w szczególności od wnioskodawców, beneficjentów, </w:t>
      </w:r>
    </w:p>
    <w:p w14:paraId="77606640"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partnerów. </w:t>
      </w:r>
    </w:p>
    <w:p w14:paraId="483F9558" w14:textId="77777777" w:rsidR="00A2768F" w:rsidRPr="002B0AF4" w:rsidRDefault="00A2768F" w:rsidP="00A2768F">
      <w:pPr>
        <w:widowControl w:val="0"/>
        <w:jc w:val="both"/>
        <w:rPr>
          <w:rFonts w:asciiTheme="minorHAnsi" w:hAnsiTheme="minorHAnsi" w:cstheme="minorHAnsi"/>
          <w:sz w:val="22"/>
          <w:szCs w:val="22"/>
        </w:rPr>
      </w:pPr>
    </w:p>
    <w:p w14:paraId="4A51209E"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 Dostęp do danych osobowych</w:t>
      </w:r>
    </w:p>
    <w:p w14:paraId="255D2A76"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Dostęp do Państwa danych osobowych mają pracownicy i współpracownicy administratora. Ponadto </w:t>
      </w:r>
    </w:p>
    <w:p w14:paraId="0232BB46"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mogą być udostępniane: </w:t>
      </w:r>
    </w:p>
    <w:p w14:paraId="6F472E10"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podmiotom, którym zleciliśmy wykonywanie zadań w FE SL 2021-2027, </w:t>
      </w:r>
    </w:p>
    <w:p w14:paraId="18BF2084"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podmioty uprawnione do uzyskania danych osobowych na podstawie przepisów prawa; </w:t>
      </w:r>
    </w:p>
    <w:p w14:paraId="774F265E"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organom Komisji Europejskiej, ministrowi właściwemu do spraw finansów publicznych, prezesowi </w:t>
      </w:r>
    </w:p>
    <w:p w14:paraId="327FC9C1"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zakładu ubezpieczeń społecznych, </w:t>
      </w:r>
    </w:p>
    <w:p w14:paraId="6B6BB047"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podmiotom, które wykonują dla nas usługi związane z obsługą i rozwojem systemów </w:t>
      </w:r>
    </w:p>
    <w:p w14:paraId="1D56725B"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teleinformatycznych, a także zapewnieniem łączności, np. dostawcom rozwiązań IT i operatorom </w:t>
      </w:r>
    </w:p>
    <w:p w14:paraId="186DC987"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telekomunikacyjnym. </w:t>
      </w:r>
    </w:p>
    <w:p w14:paraId="46D909EC" w14:textId="77777777" w:rsidR="00A2768F" w:rsidRPr="002B0AF4" w:rsidRDefault="00A2768F" w:rsidP="00A2768F">
      <w:pPr>
        <w:widowControl w:val="0"/>
        <w:jc w:val="both"/>
        <w:rPr>
          <w:rFonts w:asciiTheme="minorHAnsi" w:hAnsiTheme="minorHAnsi" w:cstheme="minorHAnsi"/>
          <w:sz w:val="22"/>
          <w:szCs w:val="22"/>
        </w:rPr>
      </w:pPr>
    </w:p>
    <w:p w14:paraId="0F5E8053"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 Okres przechowywania danych</w:t>
      </w:r>
    </w:p>
    <w:p w14:paraId="376D9E9C"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są przechowywane przez okres niezbędny do realizacji celów określonych w punkcie II. </w:t>
      </w:r>
    </w:p>
    <w:p w14:paraId="036A91D4" w14:textId="77777777" w:rsidR="00A2768F" w:rsidRPr="002B0AF4" w:rsidRDefault="00A2768F" w:rsidP="00A2768F">
      <w:pPr>
        <w:widowControl w:val="0"/>
        <w:jc w:val="both"/>
        <w:rPr>
          <w:rFonts w:asciiTheme="minorHAnsi" w:hAnsiTheme="minorHAnsi" w:cstheme="minorHAnsi"/>
          <w:sz w:val="22"/>
          <w:szCs w:val="22"/>
        </w:rPr>
      </w:pPr>
    </w:p>
    <w:p w14:paraId="2A692C9C"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 Prawa osób, których dane dotyczą</w:t>
      </w:r>
    </w:p>
    <w:p w14:paraId="1FE13829"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Przysługują Państwu następujące prawa: </w:t>
      </w:r>
    </w:p>
    <w:p w14:paraId="1E344E6B"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1. prawo dostępu do swoich danych oraz otrzymania ich kopii (art. 15 RODO), </w:t>
      </w:r>
    </w:p>
    <w:p w14:paraId="57B12A53"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2. prawo do sprostowania swoich danych (art. 16 RODO), </w:t>
      </w:r>
    </w:p>
    <w:p w14:paraId="42B1889F"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3. prawo do usunięcia swoich danych (art. 17 RODO) - jeśli nie zaistniały okoliczności, o których </w:t>
      </w:r>
    </w:p>
    <w:p w14:paraId="2FD306C4"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mowa w art. 17 ust. 3 RODO, </w:t>
      </w:r>
    </w:p>
    <w:p w14:paraId="4DB76039"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4. prawo do żądania od administratora ograniczenia przetwarzania swoich danych (art. 18 RODO), </w:t>
      </w:r>
    </w:p>
    <w:p w14:paraId="0EF34E71"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5. prawo do przenoszenia swoich danych (art. 20 RODO) - jeśli przetwarzanie odbywa się </w:t>
      </w:r>
    </w:p>
    <w:p w14:paraId="2714EF76"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na podstawie umowy: w celu jej zawarcia lub realizacji (w myśl art. 6 ust. 1 lit. b RODO), oraz w </w:t>
      </w:r>
    </w:p>
    <w:p w14:paraId="6933545C"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sposób zautomatyzowany7</w:t>
      </w:r>
    </w:p>
    <w:p w14:paraId="71384D19"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7 Do automatyzacji procesu przetwarzania danych osobowych wystarczy, że dane te są zapisane na dysku komputera , </w:t>
      </w:r>
    </w:p>
    <w:p w14:paraId="17F2A5B4"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6. prawo wniesienia skargi do organu nadzorczego Prezesa Urzędu Ochrony Danych Osobowych </w:t>
      </w:r>
    </w:p>
    <w:p w14:paraId="52CBBA57"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(art. 77 RODO) - w przypadku, gdy osoba uzna, iż przetwarzanie jej danych osobowych narusza </w:t>
      </w:r>
    </w:p>
    <w:p w14:paraId="6CB86E2D"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przepisy RODO lub inne krajowe przepisy regulujące kwestię ochrony danych osobowych, </w:t>
      </w:r>
    </w:p>
    <w:p w14:paraId="7A6794A1"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obowiązujące w Polsce. </w:t>
      </w:r>
    </w:p>
    <w:p w14:paraId="72BDCE0F" w14:textId="77777777" w:rsidR="00A2768F" w:rsidRPr="002B0AF4" w:rsidRDefault="00A2768F" w:rsidP="00A2768F">
      <w:pPr>
        <w:widowControl w:val="0"/>
        <w:jc w:val="both"/>
        <w:rPr>
          <w:rFonts w:asciiTheme="minorHAnsi" w:hAnsiTheme="minorHAnsi" w:cstheme="minorHAnsi"/>
          <w:sz w:val="22"/>
          <w:szCs w:val="22"/>
        </w:rPr>
      </w:pPr>
    </w:p>
    <w:p w14:paraId="7697131A"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VIII. Zautomatyzowane podejmowanie decyzji</w:t>
      </w:r>
    </w:p>
    <w:p w14:paraId="1CC4BDD0"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Dane osobowe nie będą podlegały zautomatyzowanemu podejmowaniu decyzji, w tym profilowaniu. </w:t>
      </w:r>
    </w:p>
    <w:p w14:paraId="42B2A7A8" w14:textId="77777777" w:rsidR="00A2768F" w:rsidRPr="002B0AF4" w:rsidRDefault="00A2768F" w:rsidP="00A2768F">
      <w:pPr>
        <w:widowControl w:val="0"/>
        <w:jc w:val="both"/>
        <w:rPr>
          <w:rFonts w:asciiTheme="minorHAnsi" w:hAnsiTheme="minorHAnsi" w:cstheme="minorHAnsi"/>
          <w:sz w:val="22"/>
          <w:szCs w:val="22"/>
        </w:rPr>
      </w:pPr>
    </w:p>
    <w:p w14:paraId="5AD6C2BA"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IX. Przekazywanie danych do państwa trzeciego</w:t>
      </w:r>
    </w:p>
    <w:p w14:paraId="7BF94C95" w14:textId="77777777"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Państwa dane osobowe nie będą przekazywane do państwa trzeciego. </w:t>
      </w:r>
    </w:p>
    <w:p w14:paraId="25FBE95D" w14:textId="77777777" w:rsidR="00A2768F" w:rsidRPr="002B0AF4" w:rsidRDefault="00A2768F" w:rsidP="00A2768F">
      <w:pPr>
        <w:widowControl w:val="0"/>
        <w:jc w:val="both"/>
        <w:rPr>
          <w:rFonts w:asciiTheme="minorHAnsi" w:hAnsiTheme="minorHAnsi" w:cstheme="minorHAnsi"/>
          <w:sz w:val="22"/>
          <w:szCs w:val="22"/>
        </w:rPr>
      </w:pPr>
    </w:p>
    <w:p w14:paraId="4C346ABA"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 Kontakt z administratorem danych</w:t>
      </w:r>
    </w:p>
    <w:p w14:paraId="11EF4886" w14:textId="47BAA2D6"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Jeśli mają Państwo pytania dotyczące przetwarzania Państwa danych osobowych, prosimy kontaktować się z Administratorem </w:t>
      </w:r>
      <w:r w:rsidR="002B0AF4" w:rsidRPr="002B0AF4">
        <w:rPr>
          <w:rFonts w:asciiTheme="minorHAnsi" w:hAnsiTheme="minorHAnsi" w:cstheme="minorHAnsi"/>
          <w:sz w:val="22"/>
          <w:szCs w:val="22"/>
        </w:rPr>
        <w:t xml:space="preserve">– Romanem Kraczlą </w:t>
      </w:r>
      <w:r w:rsidRPr="002B0AF4">
        <w:rPr>
          <w:rFonts w:asciiTheme="minorHAnsi" w:hAnsiTheme="minorHAnsi" w:cstheme="minorHAnsi"/>
          <w:sz w:val="22"/>
          <w:szCs w:val="22"/>
        </w:rPr>
        <w:t xml:space="preserve">w następujący sposób: </w:t>
      </w:r>
    </w:p>
    <w:p w14:paraId="23BE0630"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 pocztą tradycyjną (40-081 Katowice, Sokolska 65/14), </w:t>
      </w:r>
    </w:p>
    <w:p w14:paraId="4C001A2E" w14:textId="5775506C" w:rsidR="00A2768F" w:rsidRPr="002B0AF4" w:rsidRDefault="00A2768F" w:rsidP="00A2768F">
      <w:pPr>
        <w:jc w:val="both"/>
        <w:rPr>
          <w:rFonts w:asciiTheme="minorHAnsi" w:hAnsiTheme="minorHAnsi" w:cstheme="minorHAnsi"/>
          <w:sz w:val="22"/>
          <w:szCs w:val="22"/>
        </w:rPr>
      </w:pPr>
      <w:r w:rsidRPr="002B0AF4">
        <w:rPr>
          <w:rFonts w:asciiTheme="minorHAnsi" w:hAnsiTheme="minorHAnsi" w:cstheme="minorHAnsi"/>
          <w:sz w:val="22"/>
          <w:szCs w:val="22"/>
        </w:rPr>
        <w:t xml:space="preserve">▪ elektronicznie (adres e-mail: </w:t>
      </w:r>
      <w:r w:rsidR="002B0AF4" w:rsidRPr="002B0AF4">
        <w:rPr>
          <w:rFonts w:asciiTheme="minorHAnsi" w:hAnsiTheme="minorHAnsi" w:cstheme="minorHAnsi"/>
          <w:sz w:val="22"/>
          <w:szCs w:val="22"/>
        </w:rPr>
        <w:t>biuro@smgkrc.com</w:t>
      </w:r>
      <w:r w:rsidRPr="002B0AF4">
        <w:rPr>
          <w:rFonts w:asciiTheme="minorHAnsi" w:hAnsiTheme="minorHAnsi" w:cstheme="minorHAnsi"/>
          <w:sz w:val="22"/>
          <w:szCs w:val="22"/>
        </w:rPr>
        <w:t xml:space="preserve"> )</w:t>
      </w:r>
    </w:p>
    <w:p w14:paraId="3AF94023" w14:textId="77777777" w:rsidR="00A2768F" w:rsidRPr="002B0AF4" w:rsidRDefault="00A2768F" w:rsidP="00A2768F">
      <w:pPr>
        <w:widowControl w:val="0"/>
        <w:jc w:val="center"/>
        <w:rPr>
          <w:rFonts w:asciiTheme="minorHAnsi" w:hAnsiTheme="minorHAnsi" w:cstheme="minorHAnsi"/>
          <w:sz w:val="22"/>
          <w:szCs w:val="22"/>
        </w:rPr>
      </w:pPr>
    </w:p>
    <w:p w14:paraId="071E4800" w14:textId="77777777" w:rsidR="00A2768F" w:rsidRPr="002B0AF4" w:rsidRDefault="00A2768F" w:rsidP="00A2768F">
      <w:pPr>
        <w:widowControl w:val="0"/>
        <w:jc w:val="center"/>
        <w:rPr>
          <w:rFonts w:asciiTheme="minorHAnsi" w:hAnsiTheme="minorHAnsi" w:cstheme="minorHAnsi"/>
          <w:sz w:val="22"/>
          <w:szCs w:val="22"/>
        </w:rPr>
      </w:pPr>
      <w:r w:rsidRPr="002B0AF4">
        <w:rPr>
          <w:rFonts w:asciiTheme="minorHAnsi" w:hAnsiTheme="minorHAnsi" w:cstheme="minorHAnsi"/>
          <w:b/>
          <w:bCs/>
          <w:sz w:val="22"/>
          <w:szCs w:val="22"/>
        </w:rPr>
        <w:t>XI. Informacje dodatkowe</w:t>
      </w:r>
    </w:p>
    <w:p w14:paraId="2FBCCDD7"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Informacje dotyczące przetwarzania danych osobowych w programie oraz wszelkie ewentualne </w:t>
      </w:r>
    </w:p>
    <w:p w14:paraId="79318087" w14:textId="77777777" w:rsidR="00A2768F" w:rsidRPr="002B0AF4" w:rsidRDefault="00A2768F" w:rsidP="00A2768F">
      <w:pPr>
        <w:widowControl w:val="0"/>
        <w:jc w:val="both"/>
        <w:rPr>
          <w:rFonts w:asciiTheme="minorHAnsi" w:hAnsiTheme="minorHAnsi" w:cstheme="minorHAnsi"/>
          <w:sz w:val="22"/>
          <w:szCs w:val="22"/>
        </w:rPr>
      </w:pPr>
      <w:r w:rsidRPr="002B0AF4">
        <w:rPr>
          <w:rFonts w:asciiTheme="minorHAnsi" w:hAnsiTheme="minorHAnsi" w:cstheme="minorHAnsi"/>
          <w:sz w:val="22"/>
          <w:szCs w:val="22"/>
        </w:rPr>
        <w:t xml:space="preserve">aktualizacje treści klauzuli informacyjnej są dostępne na stronie: </w:t>
      </w:r>
    </w:p>
    <w:p w14:paraId="7B1CA98F" w14:textId="77777777" w:rsidR="00A2768F" w:rsidRPr="002B0AF4" w:rsidRDefault="00A2768F" w:rsidP="00A2768F">
      <w:pPr>
        <w:jc w:val="both"/>
        <w:rPr>
          <w:rFonts w:asciiTheme="minorHAnsi" w:hAnsiTheme="minorHAnsi" w:cstheme="minorHAnsi"/>
          <w:sz w:val="22"/>
          <w:szCs w:val="22"/>
        </w:rPr>
      </w:pPr>
      <w:hyperlink r:id="rId8" w:history="1">
        <w:r w:rsidRPr="002B0AF4">
          <w:rPr>
            <w:rStyle w:val="Hipercze"/>
            <w:rFonts w:asciiTheme="minorHAnsi" w:eastAsiaTheme="majorEastAsia" w:hAnsiTheme="minorHAnsi" w:cstheme="minorHAnsi"/>
            <w:sz w:val="22"/>
            <w:szCs w:val="22"/>
          </w:rPr>
          <w:t>https://smgkrc.com/aktualne-projekty/subregion-centralny-inwestuje-w-zielone-umiejetnosci</w:t>
        </w:r>
      </w:hyperlink>
    </w:p>
    <w:p w14:paraId="15A1D028" w14:textId="77777777" w:rsidR="00A2768F" w:rsidRPr="002B0AF4" w:rsidRDefault="00A2768F" w:rsidP="00A2768F">
      <w:pPr>
        <w:jc w:val="both"/>
        <w:rPr>
          <w:rFonts w:asciiTheme="minorHAnsi" w:hAnsiTheme="minorHAnsi"/>
          <w:sz w:val="22"/>
          <w:szCs w:val="22"/>
        </w:rPr>
      </w:pPr>
      <w:r w:rsidRPr="002B0AF4">
        <w:rPr>
          <w:rFonts w:asciiTheme="minorHAnsi" w:hAnsiTheme="minorHAnsi" w:cstheme="minorHAnsi"/>
          <w:b/>
          <w:bCs/>
          <w:sz w:val="22"/>
          <w:szCs w:val="22"/>
        </w:rPr>
        <w:t xml:space="preserve">Jednocześnie </w:t>
      </w:r>
      <w:r w:rsidRPr="002B0AF4">
        <w:rPr>
          <w:rFonts w:asciiTheme="minorHAnsi" w:hAnsiTheme="minorHAnsi" w:cstheme="minorHAnsi"/>
          <w:sz w:val="22"/>
          <w:szCs w:val="22"/>
        </w:rPr>
        <w:t>informujemy, iż w celu zapewnienia bezpieczeństwa przetwarzanych danych stosujemy odpowiednie rodzaje zabezpieczeń technicznych i organizacyjnych.</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27978024"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038D" w14:textId="77777777" w:rsidR="00945D30" w:rsidRDefault="00945D30" w:rsidP="00D721E6">
      <w:r>
        <w:separator/>
      </w:r>
    </w:p>
  </w:endnote>
  <w:endnote w:type="continuationSeparator" w:id="0">
    <w:p w14:paraId="05C1F131" w14:textId="77777777" w:rsidR="00945D30" w:rsidRDefault="00945D30" w:rsidP="00D721E6">
      <w:r>
        <w:continuationSeparator/>
      </w:r>
    </w:p>
  </w:endnote>
  <w:endnote w:type="continuationNotice" w:id="1">
    <w:p w14:paraId="70CF8F75" w14:textId="77777777" w:rsidR="00945D30" w:rsidRDefault="00945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141B" w14:textId="77777777" w:rsidR="00945D30" w:rsidRDefault="00945D30" w:rsidP="00D721E6">
      <w:r>
        <w:separator/>
      </w:r>
    </w:p>
  </w:footnote>
  <w:footnote w:type="continuationSeparator" w:id="0">
    <w:p w14:paraId="05B800A0" w14:textId="77777777" w:rsidR="00945D30" w:rsidRDefault="00945D30" w:rsidP="00D721E6">
      <w:r>
        <w:continuationSeparator/>
      </w:r>
    </w:p>
  </w:footnote>
  <w:footnote w:type="continuationNotice" w:id="1">
    <w:p w14:paraId="3C2FDA8D" w14:textId="77777777" w:rsidR="00945D30" w:rsidRDefault="00945D30"/>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14B777B6"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5D783BC9"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7A1BB9E5"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9AEC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21FF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264A7A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B56C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712724015">
    <w:abstractNumId w:val="2"/>
  </w:num>
  <w:num w:numId="2" w16cid:durableId="841630699">
    <w:abstractNumId w:val="4"/>
  </w:num>
  <w:num w:numId="3" w16cid:durableId="1763524960">
    <w:abstractNumId w:val="11"/>
  </w:num>
  <w:num w:numId="4" w16cid:durableId="1727491332">
    <w:abstractNumId w:val="0"/>
  </w:num>
  <w:num w:numId="5" w16cid:durableId="1584098277">
    <w:abstractNumId w:val="10"/>
  </w:num>
  <w:num w:numId="6" w16cid:durableId="1793013358">
    <w:abstractNumId w:val="9"/>
  </w:num>
  <w:num w:numId="7" w16cid:durableId="1271475978">
    <w:abstractNumId w:val="8"/>
  </w:num>
  <w:num w:numId="8" w16cid:durableId="1434280740">
    <w:abstractNumId w:val="7"/>
  </w:num>
  <w:num w:numId="9" w16cid:durableId="1609971643">
    <w:abstractNumId w:val="1"/>
  </w:num>
  <w:num w:numId="10" w16cid:durableId="1250382097">
    <w:abstractNumId w:val="5"/>
  </w:num>
  <w:num w:numId="11" w16cid:durableId="1227453110">
    <w:abstractNumId w:val="3"/>
  </w:num>
  <w:num w:numId="12" w16cid:durableId="57244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207AC"/>
    <w:rsid w:val="00143B71"/>
    <w:rsid w:val="00162C59"/>
    <w:rsid w:val="001A14E1"/>
    <w:rsid w:val="001A24B3"/>
    <w:rsid w:val="001B32EE"/>
    <w:rsid w:val="001D699E"/>
    <w:rsid w:val="001E7301"/>
    <w:rsid w:val="00202B9B"/>
    <w:rsid w:val="0023448E"/>
    <w:rsid w:val="002603B4"/>
    <w:rsid w:val="00276E56"/>
    <w:rsid w:val="00281434"/>
    <w:rsid w:val="002819C5"/>
    <w:rsid w:val="002834E3"/>
    <w:rsid w:val="00287D4C"/>
    <w:rsid w:val="002B0AF4"/>
    <w:rsid w:val="002C1DA6"/>
    <w:rsid w:val="002D63E2"/>
    <w:rsid w:val="002F4B6A"/>
    <w:rsid w:val="00320D85"/>
    <w:rsid w:val="0032197C"/>
    <w:rsid w:val="00331F45"/>
    <w:rsid w:val="00334673"/>
    <w:rsid w:val="00335DC6"/>
    <w:rsid w:val="003645BD"/>
    <w:rsid w:val="003A2836"/>
    <w:rsid w:val="003B6345"/>
    <w:rsid w:val="0040076A"/>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D0CDE"/>
    <w:rsid w:val="006E033F"/>
    <w:rsid w:val="006E4F97"/>
    <w:rsid w:val="00710928"/>
    <w:rsid w:val="007251D6"/>
    <w:rsid w:val="00737B98"/>
    <w:rsid w:val="00742EE8"/>
    <w:rsid w:val="00753F69"/>
    <w:rsid w:val="00771366"/>
    <w:rsid w:val="007A3E3B"/>
    <w:rsid w:val="007C6645"/>
    <w:rsid w:val="007E187D"/>
    <w:rsid w:val="00807A9B"/>
    <w:rsid w:val="00820111"/>
    <w:rsid w:val="00824337"/>
    <w:rsid w:val="00852C8D"/>
    <w:rsid w:val="008634B4"/>
    <w:rsid w:val="00893AC6"/>
    <w:rsid w:val="008A0E9C"/>
    <w:rsid w:val="008B7CCF"/>
    <w:rsid w:val="008C0803"/>
    <w:rsid w:val="008D3336"/>
    <w:rsid w:val="00913E96"/>
    <w:rsid w:val="00945D30"/>
    <w:rsid w:val="00994592"/>
    <w:rsid w:val="009A3948"/>
    <w:rsid w:val="009A7ECE"/>
    <w:rsid w:val="009B0009"/>
    <w:rsid w:val="009B2D24"/>
    <w:rsid w:val="009D2075"/>
    <w:rsid w:val="00A06BF8"/>
    <w:rsid w:val="00A2768F"/>
    <w:rsid w:val="00A34D2B"/>
    <w:rsid w:val="00A6222E"/>
    <w:rsid w:val="00A71B83"/>
    <w:rsid w:val="00A87834"/>
    <w:rsid w:val="00A9467C"/>
    <w:rsid w:val="00A97DDC"/>
    <w:rsid w:val="00AB03B3"/>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53F99"/>
    <w:rsid w:val="00C74FB4"/>
    <w:rsid w:val="00C86501"/>
    <w:rsid w:val="00C957B3"/>
    <w:rsid w:val="00C965DE"/>
    <w:rsid w:val="00CC1D4F"/>
    <w:rsid w:val="00CD4AA2"/>
    <w:rsid w:val="00CD5803"/>
    <w:rsid w:val="00CE0723"/>
    <w:rsid w:val="00CE1F40"/>
    <w:rsid w:val="00CF365A"/>
    <w:rsid w:val="00D04207"/>
    <w:rsid w:val="00D10111"/>
    <w:rsid w:val="00D13D26"/>
    <w:rsid w:val="00D2273B"/>
    <w:rsid w:val="00D25A3A"/>
    <w:rsid w:val="00D25CFF"/>
    <w:rsid w:val="00D4529E"/>
    <w:rsid w:val="00D51B26"/>
    <w:rsid w:val="00D71B8E"/>
    <w:rsid w:val="00D721E6"/>
    <w:rsid w:val="00D8088A"/>
    <w:rsid w:val="00D97AB5"/>
    <w:rsid w:val="00DA3083"/>
    <w:rsid w:val="00DA7603"/>
    <w:rsid w:val="00DC13DC"/>
    <w:rsid w:val="00DC44AD"/>
    <w:rsid w:val="00DE1925"/>
    <w:rsid w:val="00E0482A"/>
    <w:rsid w:val="00E06D22"/>
    <w:rsid w:val="00E45BDE"/>
    <w:rsid w:val="00E4730B"/>
    <w:rsid w:val="00E62EC3"/>
    <w:rsid w:val="00E67BF4"/>
    <w:rsid w:val="00E9570E"/>
    <w:rsid w:val="00EC6B3A"/>
    <w:rsid w:val="00ED120B"/>
    <w:rsid w:val="00F17754"/>
    <w:rsid w:val="00F23DC0"/>
    <w:rsid w:val="00F47805"/>
    <w:rsid w:val="00F646CB"/>
    <w:rsid w:val="00F73BA5"/>
    <w:rsid w:val="00F73C82"/>
    <w:rsid w:val="00F843FC"/>
    <w:rsid w:val="00FA152F"/>
    <w:rsid w:val="00FB4452"/>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2768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A2768F"/>
    <w:rPr>
      <w:color w:val="0563C1" w:themeColor="hyperlink"/>
      <w:u w:val="single"/>
    </w:rPr>
  </w:style>
  <w:style w:type="character" w:customStyle="1" w:styleId="Nagwek1Znak">
    <w:name w:val="Nagłówek 1 Znak"/>
    <w:basedOn w:val="Domylnaczcionkaakapitu"/>
    <w:link w:val="Nagwek1"/>
    <w:uiPriority w:val="9"/>
    <w:rsid w:val="00A2768F"/>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7904">
      <w:bodyDiv w:val="1"/>
      <w:marLeft w:val="0"/>
      <w:marRight w:val="0"/>
      <w:marTop w:val="0"/>
      <w:marBottom w:val="0"/>
      <w:divBdr>
        <w:top w:val="none" w:sz="0" w:space="0" w:color="auto"/>
        <w:left w:val="none" w:sz="0" w:space="0" w:color="auto"/>
        <w:bottom w:val="none" w:sz="0" w:space="0" w:color="auto"/>
        <w:right w:val="none" w:sz="0" w:space="0" w:color="auto"/>
      </w:divBdr>
    </w:div>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24388029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 w:id="550313860">
      <w:bodyDiv w:val="1"/>
      <w:marLeft w:val="0"/>
      <w:marRight w:val="0"/>
      <w:marTop w:val="0"/>
      <w:marBottom w:val="0"/>
      <w:divBdr>
        <w:top w:val="none" w:sz="0" w:space="0" w:color="auto"/>
        <w:left w:val="none" w:sz="0" w:space="0" w:color="auto"/>
        <w:bottom w:val="none" w:sz="0" w:space="0" w:color="auto"/>
        <w:right w:val="none" w:sz="0" w:space="0" w:color="auto"/>
      </w:divBdr>
    </w:div>
    <w:div w:id="677970025">
      <w:bodyDiv w:val="1"/>
      <w:marLeft w:val="0"/>
      <w:marRight w:val="0"/>
      <w:marTop w:val="0"/>
      <w:marBottom w:val="0"/>
      <w:divBdr>
        <w:top w:val="none" w:sz="0" w:space="0" w:color="auto"/>
        <w:left w:val="none" w:sz="0" w:space="0" w:color="auto"/>
        <w:bottom w:val="none" w:sz="0" w:space="0" w:color="auto"/>
        <w:right w:val="none" w:sz="0" w:space="0" w:color="auto"/>
      </w:divBdr>
    </w:div>
    <w:div w:id="768742255">
      <w:bodyDiv w:val="1"/>
      <w:marLeft w:val="0"/>
      <w:marRight w:val="0"/>
      <w:marTop w:val="0"/>
      <w:marBottom w:val="0"/>
      <w:divBdr>
        <w:top w:val="none" w:sz="0" w:space="0" w:color="auto"/>
        <w:left w:val="none" w:sz="0" w:space="0" w:color="auto"/>
        <w:bottom w:val="none" w:sz="0" w:space="0" w:color="auto"/>
        <w:right w:val="none" w:sz="0" w:space="0" w:color="auto"/>
      </w:divBdr>
    </w:div>
    <w:div w:id="12067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gkrc.com/aktualne-projekty/subregion-centralny-inwestuje-w-zielone-umiejetnos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46975-8773-4EDA-BA46-40ECCE35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2761</Words>
  <Characters>16569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SMG KRC</cp:lastModifiedBy>
  <cp:revision>6</cp:revision>
  <cp:lastPrinted>2025-03-28T10:37:00Z</cp:lastPrinted>
  <dcterms:created xsi:type="dcterms:W3CDTF">2025-03-26T13:05:00Z</dcterms:created>
  <dcterms:modified xsi:type="dcterms:W3CDTF">2025-03-31T12:17:00Z</dcterms:modified>
</cp:coreProperties>
</file>